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szCs w:val="21"/>
        </w:rPr>
      </w:pPr>
    </w:p>
    <w:p>
      <w:pPr>
        <w:ind w:firstLine="843" w:firstLineChars="3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附件1：机械与动力工程学院硕士生20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23</w:t>
      </w:r>
      <w:r>
        <w:rPr>
          <w:rFonts w:hint="eastAsia" w:ascii="Calibri" w:hAnsi="Calibri" w:eastAsia="宋体" w:cs="Times New Roman"/>
          <w:b/>
          <w:sz w:val="28"/>
          <w:szCs w:val="28"/>
        </w:rPr>
        <w:t>年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28"/>
          <w:szCs w:val="28"/>
        </w:rPr>
        <w:t>月毕业申请表</w:t>
      </w:r>
    </w:p>
    <w:tbl>
      <w:tblPr>
        <w:tblStyle w:val="4"/>
        <w:tblW w:w="99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□本人确认已上传至系统的论文即导师认可的送查重盲审最终论文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宋体" w:hAnsi="宋体" w:eastAsia="宋体" w:cs="Calibri"/>
                <w:b/>
                <w:bCs/>
                <w:color w:val="FF0000"/>
                <w:kern w:val="0"/>
                <w:sz w:val="24"/>
                <w:szCs w:val="24"/>
              </w:rPr>
              <w:t>申请本批次毕业的硕士生未满足小论文发表条件的不能申请答辩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hint="eastAsia" w:ascii="仿宋_GB2312" w:eastAsia="仿宋_GB2312"/>
                <w:b/>
                <w:color w:val="000000"/>
              </w:rPr>
              <w:t>沪交研〔2019〕86号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1921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widowControl/>
              <w:ind w:right="7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96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widowControl/>
              <w:ind w:left="0" w:leftChars="0" w:firstLine="0" w:firstLineChars="0"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根据《上海交通大学学位论文抽检暂行规定》(沪交研[2019]86号)、《机械与动力工程学院研究生导师岗位管理实施细则》(院字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)等管理办法，对于在指导硕士论文中出现下述情况之一的导师考评为不合格，考评不合格者，按照学校和学院规定视情况暂停研究生招生资格：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近三年指导的硕士学位论文在上海市抽检中认定为“存在问题”或近一学年内学校抽检为“存在问题”，暂停博士生和硕士生招生资格；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，暂停博士生招生资格，硕士生招生资格是否暂停视情况而定。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□本人已知晓上述规定，确认学生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已上传至教务系统的论文就是参加明审、抽检、盲审的最终稿，同意学生进行本次答辩及学位申请。</w:t>
            </w:r>
          </w:p>
          <w:p>
            <w:pPr>
              <w:widowControl/>
              <w:ind w:firstLine="480"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4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ind w:right="12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709" w:right="849" w:bottom="35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1DB245A3"/>
    <w:rsid w:val="6C5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671</Characters>
  <Lines>6</Lines>
  <Paragraphs>1</Paragraphs>
  <TotalTime>3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2023-03-15T01:42:55Z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27A6946E033147E5BECB6D6C60368920</vt:lpwstr>
  </property>
</Properties>
</file>